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21" w:rsidRDefault="00430421" w:rsidP="00430421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430421" w:rsidRDefault="00430421" w:rsidP="00430421">
      <w:pPr>
        <w:pStyle w:val="Standard"/>
        <w:jc w:val="center"/>
        <w:rPr>
          <w:rFonts w:cs="Times New Roman"/>
          <w:caps/>
          <w:sz w:val="28"/>
          <w:szCs w:val="28"/>
        </w:rPr>
      </w:pPr>
      <w:r>
        <w:rPr>
          <w:rFonts w:cs="Times New Roman"/>
          <w:caps/>
          <w:sz w:val="28"/>
          <w:szCs w:val="28"/>
        </w:rPr>
        <w:t>Ч е р н і г і в с ь к о ї    о б л а с т і</w:t>
      </w:r>
    </w:p>
    <w:p w:rsidR="00430421" w:rsidRDefault="00430421" w:rsidP="0043042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(___________ </w:t>
      </w:r>
      <w:proofErr w:type="spellStart"/>
      <w:r>
        <w:rPr>
          <w:rFonts w:cs="Times New Roman"/>
          <w:sz w:val="28"/>
          <w:szCs w:val="28"/>
        </w:rPr>
        <w:t>сесія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шостого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скликання</w:t>
      </w:r>
      <w:proofErr w:type="spellEnd"/>
      <w:r>
        <w:rPr>
          <w:rFonts w:cs="Times New Roman"/>
          <w:sz w:val="28"/>
          <w:szCs w:val="28"/>
        </w:rPr>
        <w:t>)</w:t>
      </w:r>
    </w:p>
    <w:p w:rsidR="00430421" w:rsidRDefault="00430421" w:rsidP="0043042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П Р О Е К Т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430421" w:rsidRDefault="00430421" w:rsidP="00430421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495"/>
        <w:gridCol w:w="2111"/>
        <w:gridCol w:w="2063"/>
        <w:gridCol w:w="1701"/>
      </w:tblGrid>
      <w:tr w:rsidR="00430421" w:rsidTr="002E55A5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421" w:rsidRDefault="00430421" w:rsidP="002E55A5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14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421" w:rsidRDefault="00430421" w:rsidP="002E55A5">
            <w:pPr>
              <w:pStyle w:val="TableContents"/>
              <w:snapToGrid w:val="0"/>
              <w:rPr>
                <w:sz w:val="20"/>
              </w:rPr>
            </w:pPr>
          </w:p>
        </w:tc>
        <w:tc>
          <w:tcPr>
            <w:tcW w:w="21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421" w:rsidRDefault="00430421" w:rsidP="002E55A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421" w:rsidRDefault="00430421" w:rsidP="002E55A5">
            <w:pPr>
              <w:pStyle w:val="TableContents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421" w:rsidRDefault="00430421" w:rsidP="002E55A5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430421" w:rsidRDefault="00430421" w:rsidP="00430421">
      <w:pPr>
        <w:pStyle w:val="Standard"/>
        <w:rPr>
          <w:sz w:val="28"/>
          <w:szCs w:val="28"/>
        </w:rPr>
      </w:pPr>
    </w:p>
    <w:p w:rsidR="00430421" w:rsidRDefault="00430421" w:rsidP="00430421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Про недоцільність  проведення</w:t>
      </w:r>
    </w:p>
    <w:p w:rsidR="00430421" w:rsidRDefault="00430421" w:rsidP="00430421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проміжних виборів у одномандатному</w:t>
      </w:r>
    </w:p>
    <w:p w:rsidR="00430421" w:rsidRDefault="00430421" w:rsidP="00430421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мажоритарному  виборчому</w:t>
      </w:r>
    </w:p>
    <w:p w:rsidR="00430421" w:rsidRDefault="00430421" w:rsidP="00430421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окрузі №18 міста Прилуки</w:t>
      </w:r>
    </w:p>
    <w:p w:rsidR="00430421" w:rsidRDefault="00430421" w:rsidP="00430421">
      <w:pPr>
        <w:pStyle w:val="Heading4user"/>
        <w:ind w:firstLine="708"/>
        <w:jc w:val="both"/>
        <w:outlineLvl w:val="9"/>
      </w:pPr>
      <w:r>
        <w:rPr>
          <w:b w:val="0"/>
        </w:rPr>
        <w:t xml:space="preserve">Відповідно до статті 25 Закону України </w:t>
      </w:r>
      <w:proofErr w:type="spellStart"/>
      <w:r>
        <w:rPr>
          <w:b w:val="0"/>
        </w:rPr>
        <w:t>“Про</w:t>
      </w:r>
      <w:proofErr w:type="spellEnd"/>
      <w:r>
        <w:rPr>
          <w:b w:val="0"/>
        </w:rPr>
        <w:t xml:space="preserve"> місцеве самоврядування в </w:t>
      </w:r>
      <w:proofErr w:type="spellStart"/>
      <w:r>
        <w:rPr>
          <w:b w:val="0"/>
        </w:rPr>
        <w:t>Україні”</w:t>
      </w:r>
      <w:proofErr w:type="spellEnd"/>
      <w:r>
        <w:rPr>
          <w:b w:val="0"/>
        </w:rPr>
        <w:t xml:space="preserve">, керуючись частиною 3 статті 81 Закону України </w:t>
      </w:r>
      <w:proofErr w:type="spellStart"/>
      <w:r>
        <w:rPr>
          <w:b w:val="0"/>
        </w:rPr>
        <w:t>“Про</w:t>
      </w:r>
      <w:proofErr w:type="spellEnd"/>
      <w:r>
        <w:rPr>
          <w:b w:val="0"/>
        </w:rPr>
        <w:t xml:space="preserve"> вибори депутатів Верховної Ради Автономної Республіки Крим, місцевих рад та сільських, селищних, міських </w:t>
      </w:r>
      <w:proofErr w:type="spellStart"/>
      <w:r>
        <w:rPr>
          <w:b w:val="0"/>
        </w:rPr>
        <w:t>голів”</w:t>
      </w:r>
      <w:proofErr w:type="spellEnd"/>
      <w:r>
        <w:rPr>
          <w:b w:val="0"/>
        </w:rPr>
        <w:t xml:space="preserve">, зважаючи на дострокове припинення повноважень депутата Яценка Є.М. менш як за шість місяців до закінчення строку повноважень діючого складу місцевої ради, ураховуючи відсутність фінансового ресурсу, міська рада    </w:t>
      </w:r>
    </w:p>
    <w:p w:rsidR="00430421" w:rsidRDefault="00430421" w:rsidP="00430421">
      <w:pPr>
        <w:pStyle w:val="Heading4user"/>
        <w:jc w:val="both"/>
        <w:outlineLvl w:val="9"/>
        <w:rPr>
          <w:b w:val="0"/>
          <w:bCs w:val="0"/>
        </w:rPr>
      </w:pPr>
      <w:r>
        <w:rPr>
          <w:b w:val="0"/>
          <w:bCs w:val="0"/>
        </w:rPr>
        <w:t>ВИРІШИЛА:</w:t>
      </w:r>
    </w:p>
    <w:p w:rsidR="00430421" w:rsidRDefault="00430421" w:rsidP="00430421">
      <w:pPr>
        <w:pStyle w:val="1"/>
        <w:ind w:left="0" w:firstLine="708"/>
        <w:jc w:val="both"/>
      </w:pPr>
      <w:r>
        <w:rPr>
          <w:sz w:val="28"/>
          <w:szCs w:val="28"/>
        </w:rPr>
        <w:t>1.Не проводити проміжні вибори депутата в  одномандатному мажорит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рному виборчому окрузі №18 міста Прилуки.  </w:t>
      </w:r>
    </w:p>
    <w:p w:rsidR="00430421" w:rsidRDefault="00430421" w:rsidP="00430421">
      <w:pPr>
        <w:pStyle w:val="1"/>
        <w:ind w:left="0" w:firstLine="708"/>
        <w:jc w:val="both"/>
      </w:pPr>
    </w:p>
    <w:p w:rsidR="00430421" w:rsidRDefault="00430421" w:rsidP="00430421">
      <w:pPr>
        <w:pStyle w:val="1"/>
        <w:ind w:left="0" w:firstLine="708"/>
        <w:jc w:val="both"/>
      </w:pPr>
      <w:r>
        <w:rPr>
          <w:sz w:val="28"/>
          <w:szCs w:val="28"/>
        </w:rPr>
        <w:t>2.Уповноважити міського голову БАРНАША Д.В. направити дане ріше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ня Центральній виборчій комісії.</w:t>
      </w:r>
    </w:p>
    <w:p w:rsidR="00430421" w:rsidRDefault="00430421" w:rsidP="00430421">
      <w:pPr>
        <w:pStyle w:val="1"/>
        <w:ind w:left="0"/>
        <w:jc w:val="both"/>
        <w:rPr>
          <w:sz w:val="28"/>
          <w:szCs w:val="28"/>
        </w:rPr>
      </w:pPr>
    </w:p>
    <w:p w:rsidR="00430421" w:rsidRDefault="00430421" w:rsidP="00430421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виконанням даного рішення покласти на постійну депута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ську комісію з питань регламенту, депутатської етики, законності, правопорядку, охорони прав, свобод і законних інтересів громадян (КІЧА В.В.).</w:t>
      </w:r>
    </w:p>
    <w:p w:rsidR="00430421" w:rsidRDefault="00430421" w:rsidP="00430421">
      <w:pPr>
        <w:pStyle w:val="1"/>
        <w:ind w:left="0"/>
        <w:jc w:val="both"/>
        <w:rPr>
          <w:color w:val="000000"/>
          <w:sz w:val="28"/>
          <w:szCs w:val="28"/>
        </w:rPr>
      </w:pPr>
    </w:p>
    <w:p w:rsidR="00430421" w:rsidRDefault="00430421" w:rsidP="00430421">
      <w:pPr>
        <w:pStyle w:val="1"/>
        <w:ind w:left="0"/>
        <w:jc w:val="both"/>
        <w:rPr>
          <w:sz w:val="28"/>
          <w:szCs w:val="28"/>
        </w:rPr>
      </w:pPr>
    </w:p>
    <w:p w:rsidR="00430421" w:rsidRDefault="00430421" w:rsidP="00430421">
      <w:pPr>
        <w:pStyle w:val="Standarduser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Д.В.БАРНАШ</w:t>
      </w:r>
    </w:p>
    <w:p w:rsidR="003E697A" w:rsidRDefault="003E697A"/>
    <w:sectPr w:rsidR="003E697A" w:rsidSect="005D62C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21"/>
    <w:rsid w:val="00217036"/>
    <w:rsid w:val="003E697A"/>
    <w:rsid w:val="00430421"/>
    <w:rsid w:val="00A0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4304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uk-UA" w:eastAsia="ja-JP"/>
    </w:rPr>
  </w:style>
  <w:style w:type="paragraph" w:customStyle="1" w:styleId="Heading1">
    <w:name w:val="Heading 1"/>
    <w:basedOn w:val="Standard"/>
    <w:next w:val="Standard"/>
    <w:rsid w:val="00430421"/>
    <w:pPr>
      <w:keepNext/>
      <w:widowControl/>
      <w:jc w:val="center"/>
      <w:outlineLvl w:val="0"/>
    </w:pPr>
    <w:rPr>
      <w:rFonts w:eastAsia="Times New Roman" w:cs="Times New Roman"/>
      <w:caps/>
      <w:sz w:val="32"/>
      <w:szCs w:val="20"/>
      <w:lang w:val="uk-UA"/>
    </w:rPr>
  </w:style>
  <w:style w:type="paragraph" w:customStyle="1" w:styleId="Heading3">
    <w:name w:val="Heading 3"/>
    <w:basedOn w:val="Standard"/>
    <w:next w:val="Standard"/>
    <w:rsid w:val="00430421"/>
    <w:pPr>
      <w:keepNext/>
      <w:widowControl/>
      <w:jc w:val="center"/>
      <w:outlineLvl w:val="2"/>
    </w:pPr>
    <w:rPr>
      <w:rFonts w:eastAsia="Times New Roman" w:cs="Times New Roman"/>
      <w:b/>
      <w:sz w:val="32"/>
      <w:szCs w:val="20"/>
      <w:lang w:val="uk-UA"/>
    </w:rPr>
  </w:style>
  <w:style w:type="paragraph" w:customStyle="1" w:styleId="TableContents">
    <w:name w:val="Table Contents"/>
    <w:basedOn w:val="Standard"/>
    <w:rsid w:val="00430421"/>
    <w:pPr>
      <w:widowControl/>
      <w:suppressLineNumbers/>
    </w:pPr>
    <w:rPr>
      <w:rFonts w:eastAsia="Times New Roman" w:cs="Times New Roman"/>
      <w:szCs w:val="20"/>
      <w:lang w:val="uk-UA"/>
    </w:rPr>
  </w:style>
  <w:style w:type="paragraph" w:customStyle="1" w:styleId="Heading4user">
    <w:name w:val="Heading 4 (user)"/>
    <w:basedOn w:val="Standarduser"/>
    <w:next w:val="Standarduser"/>
    <w:rsid w:val="004304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">
    <w:name w:val="Абзац списка1"/>
    <w:basedOn w:val="Standard"/>
    <w:rsid w:val="00430421"/>
    <w:pPr>
      <w:widowControl/>
      <w:suppressAutoHyphens w:val="0"/>
      <w:ind w:left="720"/>
    </w:pPr>
    <w:rPr>
      <w:rFonts w:eastAsia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SOBES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rada2</cp:lastModifiedBy>
  <cp:revision>2</cp:revision>
  <dcterms:created xsi:type="dcterms:W3CDTF">2015-06-10T08:28:00Z</dcterms:created>
  <dcterms:modified xsi:type="dcterms:W3CDTF">2015-06-10T08:29:00Z</dcterms:modified>
</cp:coreProperties>
</file>