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3" w:rsidRDefault="008301A3" w:rsidP="00D62C2A">
      <w:pPr>
        <w:contextualSpacing/>
      </w:pPr>
    </w:p>
    <w:p w:rsidR="003B0596" w:rsidRPr="0018312B" w:rsidRDefault="003B0596" w:rsidP="00D62C2A">
      <w:pPr>
        <w:ind w:left="4956"/>
        <w:contextualSpacing/>
        <w:rPr>
          <w:b/>
          <w:caps/>
          <w:color w:val="333333"/>
          <w:sz w:val="32"/>
        </w:rPr>
      </w:pPr>
      <w:r w:rsidRPr="0018312B">
        <w:rPr>
          <w:b/>
          <w:caps/>
          <w:color w:val="333333"/>
          <w:sz w:val="32"/>
        </w:rPr>
        <w:t>ЗАТВЕРДЖЕНО</w:t>
      </w:r>
    </w:p>
    <w:p w:rsidR="003B0596" w:rsidRPr="0018312B" w:rsidRDefault="003B0596" w:rsidP="00D62C2A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aps/>
          <w:color w:val="333333"/>
          <w:sz w:val="32"/>
        </w:rPr>
        <w:t>Р</w:t>
      </w:r>
      <w:r w:rsidRPr="0018312B">
        <w:rPr>
          <w:color w:val="333333"/>
          <w:sz w:val="28"/>
          <w:szCs w:val="28"/>
        </w:rPr>
        <w:t>ішення міської ради</w:t>
      </w:r>
    </w:p>
    <w:p w:rsidR="003B0596" w:rsidRPr="0018312B" w:rsidRDefault="003B0596" w:rsidP="00D62C2A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(</w:t>
      </w:r>
      <w:r w:rsidR="004B0C5B">
        <w:rPr>
          <w:color w:val="333333"/>
          <w:sz w:val="28"/>
          <w:szCs w:val="28"/>
        </w:rPr>
        <w:t xml:space="preserve"> ___</w:t>
      </w:r>
      <w:r w:rsidRPr="0018312B">
        <w:rPr>
          <w:color w:val="333333"/>
          <w:sz w:val="28"/>
          <w:szCs w:val="28"/>
        </w:rPr>
        <w:t xml:space="preserve"> сесія </w:t>
      </w:r>
      <w:r w:rsidR="00D93C2E">
        <w:rPr>
          <w:color w:val="333333"/>
          <w:sz w:val="28"/>
          <w:szCs w:val="28"/>
        </w:rPr>
        <w:t>7</w:t>
      </w:r>
      <w:r w:rsidRPr="0018312B">
        <w:rPr>
          <w:color w:val="333333"/>
          <w:sz w:val="28"/>
          <w:szCs w:val="28"/>
        </w:rPr>
        <w:t>скликання)</w:t>
      </w:r>
    </w:p>
    <w:p w:rsidR="003B0596" w:rsidRPr="0018312B" w:rsidRDefault="004B0C5B" w:rsidP="00D62C2A">
      <w:pPr>
        <w:ind w:left="4956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 2019</w:t>
      </w:r>
      <w:r w:rsidR="003B0596" w:rsidRPr="0018312B">
        <w:rPr>
          <w:color w:val="333333"/>
          <w:sz w:val="28"/>
          <w:szCs w:val="28"/>
        </w:rPr>
        <w:t xml:space="preserve"> року №</w:t>
      </w:r>
      <w:r>
        <w:rPr>
          <w:color w:val="333333"/>
          <w:sz w:val="28"/>
          <w:szCs w:val="28"/>
        </w:rPr>
        <w:t>___</w:t>
      </w:r>
    </w:p>
    <w:p w:rsidR="004B0C5B" w:rsidRDefault="004B0C5B" w:rsidP="00D62C2A">
      <w:pPr>
        <w:tabs>
          <w:tab w:val="left" w:pos="3119"/>
        </w:tabs>
        <w:ind w:left="4956"/>
        <w:contextualSpacing/>
        <w:rPr>
          <w:color w:val="333333"/>
          <w:sz w:val="28"/>
          <w:szCs w:val="28"/>
        </w:rPr>
      </w:pPr>
    </w:p>
    <w:p w:rsidR="003B0596" w:rsidRPr="0018312B" w:rsidRDefault="003B0596" w:rsidP="00D62C2A">
      <w:pPr>
        <w:tabs>
          <w:tab w:val="left" w:pos="3119"/>
        </w:tabs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Секретар міської ради</w:t>
      </w:r>
      <w:r w:rsidRPr="0018312B">
        <w:rPr>
          <w:color w:val="333333"/>
          <w:sz w:val="28"/>
          <w:szCs w:val="28"/>
        </w:rPr>
        <w:tab/>
        <w:t xml:space="preserve"> </w:t>
      </w:r>
    </w:p>
    <w:p w:rsidR="003B0596" w:rsidRPr="0018312B" w:rsidRDefault="003B0596" w:rsidP="00D62C2A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_____________А.В.ШАМРАЙ</w:t>
      </w:r>
    </w:p>
    <w:p w:rsidR="003B0596" w:rsidRPr="0018312B" w:rsidRDefault="003B0596" w:rsidP="00D62C2A">
      <w:pPr>
        <w:spacing w:before="120" w:after="240"/>
        <w:contextualSpacing/>
        <w:jc w:val="center"/>
        <w:rPr>
          <w:b/>
          <w:color w:val="333333"/>
          <w:sz w:val="28"/>
          <w:szCs w:val="28"/>
        </w:rPr>
      </w:pPr>
    </w:p>
    <w:p w:rsidR="003B0596" w:rsidRPr="0018312B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3B0596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D62C2A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903CBE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D62C2A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3B0596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b/>
          <w:color w:val="333333"/>
          <w:sz w:val="40"/>
          <w:szCs w:val="40"/>
          <w:lang w:val="uk-UA"/>
        </w:rPr>
        <w:t>Міська цільова Програма</w:t>
      </w:r>
    </w:p>
    <w:p w:rsidR="00146996" w:rsidRPr="0018312B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color w:val="333333"/>
          <w:sz w:val="40"/>
          <w:szCs w:val="40"/>
          <w:lang w:val="uk-UA"/>
        </w:rPr>
      </w:pPr>
    </w:p>
    <w:p w:rsidR="00146996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color w:val="333333"/>
          <w:sz w:val="40"/>
          <w:szCs w:val="40"/>
        </w:rPr>
        <w:t>«Надання медичної допомоги</w:t>
      </w:r>
      <w:r w:rsidR="00146996">
        <w:rPr>
          <w:rFonts w:ascii="Times New Roman" w:hAnsi="Times New Roman"/>
          <w:color w:val="333333"/>
          <w:sz w:val="40"/>
          <w:szCs w:val="40"/>
          <w:lang w:val="uk-UA"/>
        </w:rPr>
        <w:t xml:space="preserve"> </w:t>
      </w:r>
      <w:r w:rsidRPr="0018312B">
        <w:rPr>
          <w:rFonts w:ascii="Times New Roman" w:hAnsi="Times New Roman"/>
          <w:color w:val="333333"/>
          <w:sz w:val="40"/>
          <w:szCs w:val="40"/>
        </w:rPr>
        <w:t>дитячому</w:t>
      </w:r>
    </w:p>
    <w:p w:rsidR="00034AD7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color w:val="333333"/>
          <w:sz w:val="40"/>
          <w:szCs w:val="40"/>
        </w:rPr>
        <w:t>населенню на 201</w:t>
      </w:r>
      <w:r>
        <w:rPr>
          <w:rFonts w:ascii="Times New Roman" w:hAnsi="Times New Roman"/>
          <w:color w:val="333333"/>
          <w:sz w:val="40"/>
          <w:szCs w:val="40"/>
          <w:lang w:val="uk-UA"/>
        </w:rPr>
        <w:t>9</w:t>
      </w:r>
      <w:r w:rsidRPr="0018312B">
        <w:rPr>
          <w:rFonts w:ascii="Times New Roman" w:hAnsi="Times New Roman"/>
          <w:color w:val="333333"/>
          <w:sz w:val="40"/>
          <w:szCs w:val="40"/>
        </w:rPr>
        <w:t xml:space="preserve"> рік</w:t>
      </w:r>
      <w:r w:rsidR="00034AD7">
        <w:rPr>
          <w:rFonts w:ascii="Times New Roman" w:hAnsi="Times New Roman"/>
          <w:color w:val="333333"/>
          <w:sz w:val="40"/>
          <w:szCs w:val="40"/>
          <w:lang w:val="uk-UA"/>
        </w:rPr>
        <w:t>»</w:t>
      </w:r>
    </w:p>
    <w:p w:rsidR="003B0596" w:rsidRDefault="00034AD7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у новій редакції</w:t>
      </w:r>
    </w:p>
    <w:p w:rsidR="00146996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</w:p>
    <w:p w:rsidR="00146996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________________ 2019 року №______</w:t>
      </w:r>
    </w:p>
    <w:p w:rsidR="00146996" w:rsidRPr="0018312B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м.Прилуки</w:t>
      </w:r>
    </w:p>
    <w:p w:rsidR="003B0596" w:rsidRPr="0018312B" w:rsidRDefault="003B0596" w:rsidP="00D62C2A">
      <w:pPr>
        <w:contextualSpacing/>
        <w:jc w:val="right"/>
        <w:rPr>
          <w:color w:val="333333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8301A3" w:rsidRPr="00B61068" w:rsidRDefault="004B0C5B" w:rsidP="00D62C2A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  <w:r w:rsidR="008301A3" w:rsidRPr="00B61068">
        <w:rPr>
          <w:b/>
          <w:color w:val="000000"/>
          <w:sz w:val="28"/>
          <w:szCs w:val="28"/>
          <w:u w:val="single"/>
        </w:rPr>
        <w:lastRenderedPageBreak/>
        <w:t xml:space="preserve">І. Паспорт </w:t>
      </w:r>
      <w:r w:rsidR="008301A3" w:rsidRPr="00B61068">
        <w:rPr>
          <w:color w:val="000000"/>
          <w:sz w:val="28"/>
          <w:szCs w:val="28"/>
          <w:u w:val="single"/>
        </w:rPr>
        <w:t xml:space="preserve"> </w:t>
      </w:r>
      <w:r w:rsidR="008301A3" w:rsidRPr="00B61068">
        <w:rPr>
          <w:b/>
          <w:color w:val="000000"/>
          <w:sz w:val="28"/>
          <w:szCs w:val="28"/>
          <w:u w:val="single"/>
        </w:rPr>
        <w:t>міської  цільової Програми «</w:t>
      </w:r>
      <w:r w:rsidR="00B61068" w:rsidRPr="00B61068">
        <w:rPr>
          <w:b/>
          <w:color w:val="000000"/>
          <w:sz w:val="28"/>
          <w:szCs w:val="28"/>
          <w:u w:val="single"/>
        </w:rPr>
        <w:t>Надання медичної допомоги дитячому населенню на 2019 рік</w:t>
      </w:r>
      <w:r w:rsidR="008301A3" w:rsidRPr="00B61068">
        <w:rPr>
          <w:b/>
          <w:color w:val="000000"/>
          <w:sz w:val="28"/>
          <w:szCs w:val="28"/>
          <w:u w:val="single"/>
        </w:rPr>
        <w:t>»</w:t>
      </w:r>
    </w:p>
    <w:p w:rsidR="008301A3" w:rsidRDefault="008301A3" w:rsidP="004B0C5B">
      <w:pPr>
        <w:autoSpaceDE w:val="0"/>
        <w:ind w:left="644"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072"/>
        <w:gridCol w:w="5086"/>
      </w:tblGrid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  <w:r>
              <w:rPr>
                <w:sz w:val="28"/>
              </w:rPr>
              <w:t>Ініціатор розроблення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Виконавчий комітет Прилуцької міської ради, комунальне некомерційне підприємство «</w:t>
            </w:r>
            <w:r w:rsidR="00E6547A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E6547A">
              <w:rPr>
                <w:sz w:val="28"/>
              </w:rPr>
              <w:t xml:space="preserve"> Прилуцької міської ради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Pr="00E6547A" w:rsidRDefault="008301A3" w:rsidP="004B0C5B">
            <w:pPr>
              <w:contextualSpacing/>
              <w:jc w:val="both"/>
            </w:pPr>
            <w:r>
              <w:rPr>
                <w:sz w:val="28"/>
              </w:rPr>
              <w:t>Бюджетний кодекс України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від 08.07.2010р., Закон України «Про державний бюджет на 2018 рік» №2246-</w:t>
            </w: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, Закон України </w:t>
            </w:r>
            <w:r>
              <w:rPr>
                <w:color w:val="000000"/>
                <w:sz w:val="28"/>
                <w:szCs w:val="28"/>
              </w:rPr>
              <w:t>«Основи законодавства України про охорону здоров’я» №2801-ХІІ від 19.11.1992р., Закон України «Про  внесення змін до деяких законодавчих актів України щодо удосконалення законодавства з питань діяльності закладів охорони здоров’я» №2002-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від 06.04.2017р., Закон України «Про державні фінансові гарантії медичного обслуговування населення»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від 19.10.2017р., </w:t>
            </w:r>
            <w:r>
              <w:rPr>
                <w:sz w:val="28"/>
              </w:rPr>
              <w:t xml:space="preserve"> наказ Міністерства охорони здоров’я України «Про затвердження порядку надання первинної медичної допомоги» №504 від 19.03.2018р., </w:t>
            </w:r>
            <w:r w:rsidR="00E6547A">
              <w:rPr>
                <w:sz w:val="28"/>
              </w:rPr>
              <w:t>Бюджетний кодекс України від 08.07.2010  №2456-</w:t>
            </w:r>
            <w:r w:rsidR="00E6547A">
              <w:rPr>
                <w:sz w:val="28"/>
                <w:lang w:val="en-US"/>
              </w:rPr>
              <w:t>VI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Розробник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</w:t>
            </w:r>
            <w:r w:rsidR="00014D12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014D12">
              <w:rPr>
                <w:sz w:val="28"/>
              </w:rPr>
              <w:t xml:space="preserve"> Прилуцької міської ради</w:t>
            </w:r>
            <w:r>
              <w:rPr>
                <w:sz w:val="28"/>
              </w:rPr>
              <w:t>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Співрозробники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</w:t>
            </w:r>
            <w:r w:rsidR="00014D12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014D12">
              <w:rPr>
                <w:sz w:val="28"/>
              </w:rPr>
              <w:t xml:space="preserve"> Прилуцької міської ради</w:t>
            </w:r>
            <w:r>
              <w:rPr>
                <w:sz w:val="28"/>
              </w:rPr>
              <w:t>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Головний розпорядник бюджетних коштів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Виконавчий комітет Прилуцької міської ради.</w:t>
            </w:r>
          </w:p>
        </w:tc>
      </w:tr>
      <w:tr w:rsidR="00893876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876" w:rsidRDefault="00893876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876" w:rsidRDefault="00893876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Учасники 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76" w:rsidRDefault="00893876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«Прилуцька міська дитяча лікарня» Прилуцької міської ради.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2019 рік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Міський бюджет міста Прилуки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Загальний обсяг фінансових ресурсів, необхідних для реалізації Програми всього, </w:t>
            </w:r>
          </w:p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 тому числі: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D770A4" w:rsidP="004E3C97">
            <w:pPr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12 058</w:t>
            </w:r>
            <w:r w:rsidR="00893876">
              <w:rPr>
                <w:sz w:val="28"/>
              </w:rPr>
              <w:t> 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коштів  загального фонду міського бюджету, джерелом яких є медична субвенція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B60A0" w:rsidP="004B0C5B">
            <w:pPr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9 322</w:t>
            </w:r>
            <w:r w:rsidR="00893876">
              <w:rPr>
                <w:sz w:val="28"/>
              </w:rPr>
              <w:t xml:space="preserve"> 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коштів  загального фонду міського бюджету</w:t>
            </w:r>
            <w:r w:rsidR="00893876">
              <w:rPr>
                <w:sz w:val="28"/>
              </w:rPr>
              <w:t>:</w:t>
            </w:r>
          </w:p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93876">
              <w:rPr>
                <w:sz w:val="28"/>
              </w:rPr>
              <w:t>комунальні послуги</w:t>
            </w:r>
          </w:p>
          <w:p w:rsidR="008B60A0" w:rsidRPr="004E3C97" w:rsidRDefault="008B60A0" w:rsidP="004B0C5B">
            <w:pPr>
              <w:contextualSpacing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</w:t>
            </w:r>
            <w:r w:rsidR="00516036">
              <w:rPr>
                <w:sz w:val="28"/>
              </w:rPr>
              <w:t>утримання установи та покращення матеріально-технічної бази</w:t>
            </w:r>
            <w:r w:rsidR="004E3C97">
              <w:rPr>
                <w:sz w:val="28"/>
              </w:rPr>
              <w:t>, поточні видатки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                         </w:t>
            </w:r>
          </w:p>
          <w:p w:rsidR="008301A3" w:rsidRDefault="008301A3" w:rsidP="004B0C5B">
            <w:pPr>
              <w:contextualSpacing/>
              <w:rPr>
                <w:sz w:val="28"/>
              </w:rPr>
            </w:pPr>
          </w:p>
          <w:p w:rsidR="008301A3" w:rsidRDefault="008B60A0" w:rsidP="004B0C5B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8301A3">
              <w:rPr>
                <w:sz w:val="28"/>
              </w:rPr>
              <w:t xml:space="preserve"> </w:t>
            </w:r>
            <w:r>
              <w:rPr>
                <w:sz w:val="28"/>
              </w:rPr>
              <w:t>1 891</w:t>
            </w:r>
            <w:r w:rsidR="00AC5785">
              <w:rPr>
                <w:sz w:val="28"/>
              </w:rPr>
              <w:t> 000,00  грн</w:t>
            </w:r>
          </w:p>
          <w:p w:rsidR="00516036" w:rsidRDefault="00516036" w:rsidP="004B0C5B">
            <w:pPr>
              <w:contextualSpacing/>
              <w:jc w:val="center"/>
              <w:rPr>
                <w:sz w:val="28"/>
              </w:rPr>
            </w:pPr>
          </w:p>
          <w:p w:rsidR="00516036" w:rsidRDefault="00516036" w:rsidP="004B0C5B">
            <w:pPr>
              <w:contextualSpacing/>
              <w:jc w:val="center"/>
              <w:rPr>
                <w:sz w:val="28"/>
              </w:rPr>
            </w:pPr>
          </w:p>
          <w:p w:rsidR="008B60A0" w:rsidRPr="008B60A0" w:rsidRDefault="00D770A4" w:rsidP="004B0C5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845</w:t>
            </w:r>
            <w:r w:rsidR="008B60A0">
              <w:rPr>
                <w:sz w:val="28"/>
              </w:rPr>
              <w:t> 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Кредиторська заборгованість минулого періоду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</w:tr>
    </w:tbl>
    <w:p w:rsidR="008301A3" w:rsidRDefault="008301A3" w:rsidP="004B0C5B">
      <w:pPr>
        <w:ind w:firstLine="709"/>
        <w:contextualSpacing/>
        <w:jc w:val="center"/>
        <w:rPr>
          <w:b/>
          <w:sz w:val="28"/>
        </w:rPr>
      </w:pPr>
    </w:p>
    <w:p w:rsidR="00F03D84" w:rsidRDefault="008301A3" w:rsidP="004B0C5B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 xml:space="preserve">ІІ. </w:t>
      </w:r>
      <w:r>
        <w:rPr>
          <w:b/>
          <w:sz w:val="28"/>
          <w:u w:val="single"/>
        </w:rPr>
        <w:t>Проблема,  на  розв’язання  якої  спрямована  Програма</w:t>
      </w:r>
      <w:r>
        <w:rPr>
          <w:szCs w:val="24"/>
        </w:rPr>
        <w:br/>
      </w:r>
      <w:r>
        <w:rPr>
          <w:szCs w:val="24"/>
        </w:rPr>
        <w:tab/>
      </w:r>
      <w:r w:rsidR="009235E2" w:rsidRPr="009235E2">
        <w:rPr>
          <w:sz w:val="28"/>
          <w:szCs w:val="28"/>
        </w:rPr>
        <w:t>Первинну та вторинну медичну допомогу дитячому населенню м.Прилуки надає комунальне некомерційне підприємство</w:t>
      </w:r>
      <w:r w:rsidR="009235E2">
        <w:rPr>
          <w:sz w:val="28"/>
        </w:rPr>
        <w:t xml:space="preserve"> «Прилуцька міська дитяча лікарня» Прилуцької міської ради.</w:t>
      </w:r>
    </w:p>
    <w:p w:rsidR="009235E2" w:rsidRDefault="009235E2" w:rsidP="004B0C5B">
      <w:pPr>
        <w:ind w:firstLine="709"/>
        <w:contextualSpacing/>
        <w:jc w:val="both"/>
      </w:pPr>
      <w:r>
        <w:rPr>
          <w:sz w:val="28"/>
        </w:rPr>
        <w:t>Актуальність</w:t>
      </w:r>
      <w:r>
        <w:rPr>
          <w:szCs w:val="24"/>
        </w:rPr>
        <w:t xml:space="preserve"> </w:t>
      </w:r>
      <w:r>
        <w:rPr>
          <w:color w:val="000000"/>
          <w:sz w:val="28"/>
          <w:szCs w:val="28"/>
        </w:rPr>
        <w:t>м</w:t>
      </w:r>
      <w:r w:rsidRPr="009235E2">
        <w:rPr>
          <w:color w:val="000000"/>
          <w:sz w:val="28"/>
          <w:szCs w:val="28"/>
        </w:rPr>
        <w:t>іськ</w:t>
      </w:r>
      <w:r>
        <w:rPr>
          <w:color w:val="000000"/>
          <w:sz w:val="28"/>
          <w:szCs w:val="28"/>
        </w:rPr>
        <w:t>ої</w:t>
      </w:r>
      <w:r w:rsidRPr="009235E2">
        <w:rPr>
          <w:color w:val="000000"/>
          <w:sz w:val="28"/>
          <w:szCs w:val="28"/>
        </w:rPr>
        <w:t xml:space="preserve">  цільов</w:t>
      </w:r>
      <w:r>
        <w:rPr>
          <w:color w:val="000000"/>
          <w:sz w:val="28"/>
          <w:szCs w:val="28"/>
        </w:rPr>
        <w:t>ої</w:t>
      </w:r>
      <w:r w:rsidRPr="00923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235E2">
        <w:rPr>
          <w:color w:val="000000"/>
          <w:sz w:val="28"/>
          <w:szCs w:val="28"/>
        </w:rPr>
        <w:t>рограм</w:t>
      </w:r>
      <w:r>
        <w:rPr>
          <w:color w:val="000000"/>
          <w:sz w:val="28"/>
          <w:szCs w:val="28"/>
        </w:rPr>
        <w:t>и</w:t>
      </w:r>
      <w:r w:rsidRPr="009235E2">
        <w:rPr>
          <w:color w:val="000000"/>
          <w:sz w:val="28"/>
          <w:szCs w:val="28"/>
        </w:rPr>
        <w:t xml:space="preserve"> «Надання медичної допомоги дитячому населенню на 2019 рік»</w:t>
      </w:r>
      <w:r>
        <w:rPr>
          <w:color w:val="000000"/>
          <w:sz w:val="28"/>
          <w:szCs w:val="28"/>
        </w:rPr>
        <w:t xml:space="preserve"> продиктована необхідністю поліпшення якості надання та доступності медичної допомоги дитячому населенню м.Прилуки, підвищення престижу праці медичних працівників, покращення їх соціального та економічного становища. Вона зумовлена</w:t>
      </w:r>
      <w:r w:rsidR="007A54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першу чергу</w:t>
      </w:r>
      <w:r w:rsidR="007A54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C0F67">
        <w:rPr>
          <w:color w:val="000000"/>
          <w:sz w:val="28"/>
          <w:szCs w:val="28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  30 листопада 2016 р. № 1013, та згідно </w:t>
      </w:r>
      <w:r w:rsidR="007A54FF">
        <w:rPr>
          <w:sz w:val="28"/>
          <w:szCs w:val="28"/>
        </w:rPr>
        <w:t xml:space="preserve">із </w:t>
      </w:r>
      <w:r>
        <w:rPr>
          <w:sz w:val="28"/>
          <w:szCs w:val="28"/>
        </w:rPr>
        <w:t>Закон</w:t>
      </w:r>
      <w:r w:rsidR="007A54FF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 результатами їх діяльності. 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Національна служба здоров’я України з 01.07.2018р. є розпорядником коштів державного бюджету, передбачених на фінансування первинної медичної допомоги за програмою державних гарантій медичного обслуговування населення.  </w:t>
      </w:r>
      <w:r w:rsidR="00444F9B">
        <w:rPr>
          <w:sz w:val="28"/>
          <w:szCs w:val="28"/>
        </w:rPr>
        <w:t>Фінансування вторинного рівня медичної допомоги у 2019 р</w:t>
      </w:r>
      <w:r w:rsidR="007A54FF">
        <w:rPr>
          <w:sz w:val="28"/>
          <w:szCs w:val="28"/>
        </w:rPr>
        <w:t>оці</w:t>
      </w:r>
      <w:r w:rsidR="00444F9B">
        <w:rPr>
          <w:sz w:val="28"/>
          <w:szCs w:val="28"/>
        </w:rPr>
        <w:t xml:space="preserve"> буде здійснюватися за рахунок коштів медичної субвенції.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комунальних послуг надавачами медичної допомоги в 2019</w:t>
      </w:r>
      <w:r w:rsidR="007A54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A54FF">
        <w:rPr>
          <w:sz w:val="28"/>
          <w:szCs w:val="28"/>
        </w:rPr>
        <w:t>оці</w:t>
      </w:r>
      <w:r>
        <w:rPr>
          <w:sz w:val="28"/>
          <w:szCs w:val="28"/>
        </w:rPr>
        <w:t xml:space="preserve"> буде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 </w:t>
      </w:r>
      <w:r>
        <w:rPr>
          <w:sz w:val="28"/>
        </w:rPr>
        <w:t>№2456-V</w:t>
      </w:r>
      <w:r>
        <w:rPr>
          <w:sz w:val="28"/>
          <w:lang w:val="en-US"/>
        </w:rPr>
        <w:t>I</w:t>
      </w:r>
      <w:r>
        <w:rPr>
          <w:sz w:val="28"/>
        </w:rPr>
        <w:t xml:space="preserve"> від 08.07.2010р.</w:t>
      </w:r>
    </w:p>
    <w:p w:rsidR="008301A3" w:rsidRDefault="008301A3" w:rsidP="004B0C5B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З огляду на зазначене, прийняття </w:t>
      </w:r>
      <w:r>
        <w:rPr>
          <w:color w:val="000000"/>
          <w:sz w:val="28"/>
          <w:szCs w:val="28"/>
        </w:rPr>
        <w:t>міської цільової Програми «</w:t>
      </w:r>
      <w:r w:rsidR="005D5A6F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забезпечує функціонування </w:t>
      </w:r>
      <w:r>
        <w:rPr>
          <w:sz w:val="28"/>
        </w:rPr>
        <w:t xml:space="preserve">комунального некомерційного підприємства </w:t>
      </w:r>
      <w:r w:rsidR="002C21BB">
        <w:rPr>
          <w:sz w:val="28"/>
        </w:rPr>
        <w:t>«Прилуцька міська дитяча лікарня» Прилуцької міської ради</w:t>
      </w:r>
      <w:r>
        <w:rPr>
          <w:sz w:val="28"/>
        </w:rPr>
        <w:t xml:space="preserve"> у 2019 році.</w:t>
      </w:r>
      <w:r>
        <w:rPr>
          <w:sz w:val="28"/>
          <w:szCs w:val="28"/>
        </w:rPr>
        <w:t xml:space="preserve"> </w:t>
      </w: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ІІІ. </w:t>
      </w:r>
      <w:r>
        <w:rPr>
          <w:b/>
          <w:bCs/>
          <w:spacing w:val="-2"/>
          <w:sz w:val="28"/>
          <w:szCs w:val="28"/>
          <w:u w:val="single"/>
        </w:rPr>
        <w:t>Мета Програми</w:t>
      </w:r>
    </w:p>
    <w:p w:rsidR="008301A3" w:rsidRDefault="008301A3" w:rsidP="004B0C5B">
      <w:pPr>
        <w:shd w:val="clear" w:color="auto" w:fill="FFFFFF"/>
        <w:ind w:firstLine="709"/>
        <w:contextualSpacing/>
        <w:jc w:val="both"/>
        <w:rPr>
          <w:b/>
          <w:sz w:val="28"/>
        </w:rPr>
      </w:pPr>
      <w:r>
        <w:rPr>
          <w:sz w:val="28"/>
          <w:szCs w:val="28"/>
        </w:rPr>
        <w:t xml:space="preserve">Метою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9C0C65">
        <w:rPr>
          <w:color w:val="000000"/>
          <w:sz w:val="28"/>
          <w:szCs w:val="28"/>
        </w:rPr>
        <w:t>«</w:t>
      </w:r>
      <w:r w:rsidR="009C0C65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9C0C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є  фінансове забезпечення функціонування у 2019 році </w:t>
      </w:r>
      <w:r>
        <w:rPr>
          <w:sz w:val="28"/>
        </w:rPr>
        <w:t xml:space="preserve">комунального некомерційного підприємства </w:t>
      </w:r>
      <w:r w:rsidR="009C0C65">
        <w:rPr>
          <w:sz w:val="28"/>
        </w:rPr>
        <w:t>«Прилуцька міська дитяча лікарня» Прилуцької міської ради</w:t>
      </w:r>
      <w:r>
        <w:rPr>
          <w:sz w:val="28"/>
        </w:rPr>
        <w:t xml:space="preserve"> в частині оплати комунальних послуг</w:t>
      </w:r>
      <w:r w:rsidR="00C279C9">
        <w:rPr>
          <w:sz w:val="28"/>
        </w:rPr>
        <w:t>,</w:t>
      </w:r>
      <w:r>
        <w:rPr>
          <w:sz w:val="28"/>
        </w:rPr>
        <w:t xml:space="preserve"> </w:t>
      </w:r>
      <w:r w:rsidR="00C279C9">
        <w:rPr>
          <w:sz w:val="28"/>
        </w:rPr>
        <w:t>енергоносіїв та надання вторинної медичної допомоги,</w:t>
      </w:r>
      <w:r>
        <w:rPr>
          <w:sz w:val="28"/>
        </w:rPr>
        <w:t xml:space="preserve"> що надає можливість забезпечення </w:t>
      </w:r>
      <w:r w:rsidR="00C279C9">
        <w:rPr>
          <w:sz w:val="28"/>
        </w:rPr>
        <w:t xml:space="preserve">дитячого </w:t>
      </w:r>
      <w:r>
        <w:rPr>
          <w:sz w:val="28"/>
        </w:rPr>
        <w:t xml:space="preserve">населення  </w:t>
      </w:r>
      <w:r w:rsidR="00C279C9">
        <w:rPr>
          <w:sz w:val="28"/>
          <w:szCs w:val="28"/>
        </w:rPr>
        <w:t xml:space="preserve">необхідною </w:t>
      </w:r>
      <w:r>
        <w:rPr>
          <w:sz w:val="28"/>
          <w:szCs w:val="28"/>
        </w:rPr>
        <w:t>медичною допомогою, вжиття заходів з профілактики захворювань населення та підтримки громадського здоров’я.</w:t>
      </w:r>
    </w:p>
    <w:p w:rsidR="008301A3" w:rsidRDefault="008301A3" w:rsidP="004B0C5B">
      <w:pPr>
        <w:shd w:val="clear" w:color="auto" w:fill="FFFFFF"/>
        <w:ind w:firstLine="709"/>
        <w:contextualSpacing/>
        <w:jc w:val="both"/>
        <w:rPr>
          <w:b/>
          <w:sz w:val="28"/>
        </w:rPr>
      </w:pP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>
        <w:rPr>
          <w:b/>
          <w:sz w:val="28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C279C9">
        <w:rPr>
          <w:color w:val="000000"/>
          <w:sz w:val="28"/>
          <w:szCs w:val="28"/>
        </w:rPr>
        <w:t>«</w:t>
      </w:r>
      <w:r w:rsidR="00C279C9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C279C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 2019 році здійснюватиметься у межах асигнувань, передбачених на охорону здоров’я в міському бюджеті м. Прилуки. </w:t>
      </w:r>
    </w:p>
    <w:p w:rsidR="00C279C9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Покриття ви</w:t>
      </w:r>
      <w:r w:rsidR="004E3C97">
        <w:rPr>
          <w:sz w:val="28"/>
          <w:szCs w:val="28"/>
        </w:rPr>
        <w:t>датків на оплату енергоносіїв і</w:t>
      </w:r>
      <w:r>
        <w:rPr>
          <w:sz w:val="28"/>
          <w:szCs w:val="28"/>
        </w:rPr>
        <w:t xml:space="preserve"> комунальних послуг (за загальним фондом) у сумі </w:t>
      </w:r>
      <w:r w:rsidR="00C279C9">
        <w:rPr>
          <w:sz w:val="28"/>
          <w:szCs w:val="28"/>
        </w:rPr>
        <w:t xml:space="preserve">1 </w:t>
      </w:r>
      <w:r w:rsidR="004E3C97">
        <w:rPr>
          <w:sz w:val="28"/>
          <w:szCs w:val="28"/>
        </w:rPr>
        <w:t xml:space="preserve">891 000,00 грн., </w:t>
      </w:r>
      <w:r w:rsidR="004E3C97" w:rsidRPr="004E3C97">
        <w:rPr>
          <w:sz w:val="28"/>
        </w:rPr>
        <w:t xml:space="preserve"> </w:t>
      </w:r>
      <w:r w:rsidR="004E3C97">
        <w:rPr>
          <w:sz w:val="28"/>
        </w:rPr>
        <w:t xml:space="preserve">утримання установи та покращення матеріально-технічної бази, поточні видатки у сумі </w:t>
      </w:r>
      <w:r w:rsidR="00D770A4">
        <w:rPr>
          <w:sz w:val="28"/>
        </w:rPr>
        <w:t>845</w:t>
      </w:r>
      <w:r w:rsidR="004E3C97">
        <w:rPr>
          <w:sz w:val="28"/>
        </w:rPr>
        <w:t> 000,00грн.</w:t>
      </w:r>
      <w:r w:rsidR="004E3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здійснюватиметься за рахунок коштів міського бюджету, затверджених комунальному некомерційному підприємству </w:t>
      </w:r>
      <w:r w:rsidR="00C279C9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>.</w:t>
      </w:r>
      <w:r w:rsidR="00C279C9">
        <w:rPr>
          <w:sz w:val="28"/>
          <w:szCs w:val="28"/>
        </w:rPr>
        <w:t xml:space="preserve">    </w:t>
      </w:r>
    </w:p>
    <w:p w:rsidR="008301A3" w:rsidRDefault="00C279C9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Джерелом надходження коштів до міського бюджету для покриття видатків на надання вторинної медичної допомоги дитячому населенню</w:t>
      </w:r>
      <w:r w:rsidR="00A738E0">
        <w:rPr>
          <w:sz w:val="28"/>
          <w:szCs w:val="28"/>
        </w:rPr>
        <w:t xml:space="preserve"> є медична субвенція з державного бюджету в фактичній потребі </w:t>
      </w:r>
      <w:r w:rsidR="00390C23">
        <w:rPr>
          <w:sz w:val="28"/>
          <w:szCs w:val="28"/>
        </w:rPr>
        <w:t xml:space="preserve"> </w:t>
      </w:r>
      <w:r w:rsidR="00A738E0">
        <w:rPr>
          <w:sz w:val="28"/>
          <w:szCs w:val="28"/>
        </w:rPr>
        <w:t>9 </w:t>
      </w:r>
      <w:r w:rsidR="004E3C97">
        <w:rPr>
          <w:sz w:val="28"/>
          <w:szCs w:val="28"/>
        </w:rPr>
        <w:t>322</w:t>
      </w:r>
      <w:r w:rsidR="00A738E0">
        <w:rPr>
          <w:sz w:val="28"/>
          <w:szCs w:val="28"/>
        </w:rPr>
        <w:t> 000,00 грн</w:t>
      </w:r>
      <w:r w:rsidR="007A54FF">
        <w:rPr>
          <w:sz w:val="28"/>
          <w:szCs w:val="28"/>
        </w:rPr>
        <w:t xml:space="preserve">. </w:t>
      </w:r>
      <w:r w:rsidR="00A738E0">
        <w:rPr>
          <w:sz w:val="28"/>
          <w:szCs w:val="28"/>
        </w:rPr>
        <w:t>на 2019 рік.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>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 xml:space="preserve">) здійснює їх використання </w:t>
      </w:r>
      <w:r w:rsidR="007A54FF">
        <w:rPr>
          <w:sz w:val="28"/>
          <w:szCs w:val="28"/>
        </w:rPr>
        <w:t>відпов</w:t>
      </w:r>
      <w:r>
        <w:rPr>
          <w:sz w:val="28"/>
          <w:szCs w:val="28"/>
        </w:rPr>
        <w:t xml:space="preserve">ідно </w:t>
      </w:r>
      <w:r w:rsidR="007A54F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Плану використання бюджетних коштів, складеного та затвердженого у встановленому порядку. 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F04C3B">
        <w:rPr>
          <w:color w:val="000000"/>
          <w:sz w:val="28"/>
          <w:szCs w:val="28"/>
        </w:rPr>
        <w:t>«</w:t>
      </w:r>
      <w:r w:rsidR="00F04C3B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F04C3B">
        <w:rPr>
          <w:color w:val="000000"/>
          <w:sz w:val="28"/>
          <w:szCs w:val="28"/>
        </w:rPr>
        <w:t>»</w:t>
      </w:r>
      <w:r w:rsidR="008E16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передбачено на 2019 рік.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</w:p>
    <w:p w:rsidR="00755056" w:rsidRPr="007A6BF7" w:rsidRDefault="00755056" w:rsidP="004B0C5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755056" w:rsidRPr="007A6BF7" w:rsidRDefault="00755056" w:rsidP="004B0C5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8301A3" w:rsidRDefault="008301A3" w:rsidP="004B0C5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>
        <w:rPr>
          <w:b/>
          <w:sz w:val="28"/>
          <w:szCs w:val="28"/>
          <w:u w:val="single"/>
        </w:rPr>
        <w:t>. Завдання,  заходи  реалізації  Програми та результативні показники</w:t>
      </w:r>
    </w:p>
    <w:p w:rsidR="008301A3" w:rsidRDefault="008301A3" w:rsidP="004B0C5B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Основними завданнями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567FF7">
        <w:rPr>
          <w:color w:val="000000"/>
          <w:sz w:val="28"/>
          <w:szCs w:val="28"/>
        </w:rPr>
        <w:t>«</w:t>
      </w:r>
      <w:r w:rsidR="00567FF7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567F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є :</w:t>
      </w:r>
    </w:p>
    <w:p w:rsidR="008301A3" w:rsidRDefault="008301A3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покриття видатків на оплату енергоносіїв в 2019 році,</w:t>
      </w:r>
      <w:r>
        <w:rPr>
          <w:sz w:val="28"/>
        </w:rPr>
        <w:t xml:space="preserve"> що надає можливість забезпечити </w:t>
      </w:r>
      <w:r w:rsidR="00567FF7">
        <w:rPr>
          <w:sz w:val="28"/>
        </w:rPr>
        <w:t xml:space="preserve">дитяче населення </w:t>
      </w:r>
      <w:r>
        <w:rPr>
          <w:sz w:val="28"/>
          <w:szCs w:val="28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Default="00567FF7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фінансування установи у відповідності до положень бюджетного кодексу України.</w:t>
      </w:r>
    </w:p>
    <w:p w:rsidR="00567FF7" w:rsidRDefault="00567FF7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гарантована можливість надання дитячому населенню у 2019 році належної медичної допомоги.</w:t>
      </w:r>
    </w:p>
    <w:p w:rsidR="008301A3" w:rsidRDefault="008301A3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Очікуваними результатами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6C110D">
        <w:rPr>
          <w:color w:val="000000"/>
          <w:sz w:val="28"/>
          <w:szCs w:val="28"/>
        </w:rPr>
        <w:t>«</w:t>
      </w:r>
      <w:r w:rsidR="006C110D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6C110D">
        <w:rPr>
          <w:color w:val="000000"/>
          <w:sz w:val="28"/>
          <w:szCs w:val="28"/>
        </w:rPr>
        <w:t>»  є:</w:t>
      </w:r>
    </w:p>
    <w:p w:rsidR="006C110D" w:rsidRDefault="006C110D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>
        <w:rPr>
          <w:color w:val="000000"/>
          <w:sz w:val="28"/>
          <w:szCs w:val="28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Default="00FB4C87" w:rsidP="004B0C5B">
      <w:pPr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організаційно-методичне керівництво та координація діяльності структурних підрозділів </w:t>
      </w:r>
      <w:r>
        <w:rPr>
          <w:sz w:val="28"/>
          <w:szCs w:val="28"/>
        </w:rPr>
        <w:t xml:space="preserve">комунальне некомерційне підприємство </w:t>
      </w:r>
      <w:r>
        <w:rPr>
          <w:sz w:val="28"/>
        </w:rPr>
        <w:t>«Прилуцька міська дитяча лікарня» Прилуцької міської ради з питань надання дитячому населенню доступної, якісної медичної допомоги</w:t>
      </w:r>
      <w:r>
        <w:rPr>
          <w:color w:val="000000"/>
          <w:sz w:val="28"/>
          <w:szCs w:val="28"/>
        </w:rPr>
        <w:t>;</w:t>
      </w:r>
    </w:p>
    <w:p w:rsidR="00FB4C87" w:rsidRDefault="00FB4C87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>-</w:t>
      </w:r>
      <w:r w:rsidR="007A54FF">
        <w:rPr>
          <w:sz w:val="28"/>
        </w:rPr>
        <w:t xml:space="preserve"> </w:t>
      </w:r>
      <w:r>
        <w:rPr>
          <w:sz w:val="28"/>
        </w:rPr>
        <w:t>вивчення показників захворюваності, розробка і проведення лікувально- 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</w:t>
      </w:r>
      <w:r>
        <w:rPr>
          <w:color w:val="000000"/>
          <w:sz w:val="28"/>
          <w:szCs w:val="28"/>
        </w:rPr>
        <w:t>;</w:t>
      </w:r>
    </w:p>
    <w:p w:rsidR="00FB4C87" w:rsidRDefault="00FB4C87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 w:val="28"/>
          <w:szCs w:val="28"/>
        </w:rPr>
        <w:t>-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покращення рівня громадського здоров’я;  </w:t>
      </w:r>
    </w:p>
    <w:p w:rsidR="008301A3" w:rsidRPr="007402FA" w:rsidRDefault="004744AA" w:rsidP="007402FA">
      <w:pPr>
        <w:ind w:firstLine="567"/>
        <w:contextualSpacing/>
        <w:jc w:val="both"/>
        <w:rPr>
          <w:szCs w:val="24"/>
        </w:rPr>
      </w:pPr>
      <w:r w:rsidRPr="007402FA">
        <w:rPr>
          <w:szCs w:val="24"/>
        </w:rPr>
        <w:t xml:space="preserve">   </w:t>
      </w:r>
      <w:r w:rsidR="008301A3" w:rsidRPr="007402FA">
        <w:rPr>
          <w:szCs w:val="24"/>
        </w:rPr>
        <w:t>- формування у населення навичок здорового способу життя;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</w:p>
    <w:p w:rsidR="008301A3" w:rsidRPr="004E3C97" w:rsidRDefault="008301A3" w:rsidP="004B0C5B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І. Напрями діяльності та заходи Програми</w:t>
      </w:r>
    </w:p>
    <w:p w:rsidR="008301A3" w:rsidRPr="004E3C97" w:rsidRDefault="008301A3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метою забезпечення населення первинною медичною допомогою в межах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передбачається здійснення заходів з оплати комунальних послуг</w:t>
      </w:r>
      <w:r w:rsidR="00375C28">
        <w:rPr>
          <w:sz w:val="28"/>
          <w:szCs w:val="28"/>
        </w:rPr>
        <w:t xml:space="preserve">, </w:t>
      </w:r>
      <w:r>
        <w:rPr>
          <w:sz w:val="28"/>
          <w:szCs w:val="28"/>
        </w:rPr>
        <w:t>енерг</w:t>
      </w:r>
      <w:r w:rsidR="00375C28">
        <w:rPr>
          <w:sz w:val="28"/>
          <w:szCs w:val="28"/>
        </w:rPr>
        <w:t>оносіїв та надання медичної допомоги вторинного рівня.</w:t>
      </w:r>
    </w:p>
    <w:p w:rsidR="00BB733E" w:rsidRPr="004E3C97" w:rsidRDefault="00BB733E" w:rsidP="004B0C5B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</w:p>
    <w:p w:rsidR="008301A3" w:rsidRPr="004B0C5B" w:rsidRDefault="008301A3" w:rsidP="004B0C5B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ІІ. Координація та контроль за ходом виконання Програми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Безпосередній контроль за виконанням Програми здійснюється головним розпорядником.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Звіт про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надається виконавцем головном</w:t>
      </w:r>
      <w:r w:rsidR="00375C28">
        <w:rPr>
          <w:sz w:val="28"/>
          <w:szCs w:val="28"/>
        </w:rPr>
        <w:t>у розпоряднику бюджетних коштів.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розпорядник бюджетних коштів надає звіт про виконання </w:t>
      </w:r>
      <w:r>
        <w:rPr>
          <w:color w:val="000000"/>
          <w:sz w:val="28"/>
          <w:szCs w:val="28"/>
        </w:rPr>
        <w:t xml:space="preserve">міської цільової Програми 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економіки  Прилуцької м</w:t>
      </w:r>
      <w:r w:rsidR="00375C28">
        <w:rPr>
          <w:sz w:val="28"/>
          <w:szCs w:val="28"/>
        </w:rPr>
        <w:t>іської ради.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виконавець звітує про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сесії міської ради за підсумками року.</w:t>
      </w:r>
    </w:p>
    <w:p w:rsidR="008301A3" w:rsidRDefault="008301A3" w:rsidP="004B0C5B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2019 рік».                           </w:t>
      </w:r>
    </w:p>
    <w:p w:rsidR="008301A3" w:rsidRDefault="008301A3" w:rsidP="004B0C5B">
      <w:pPr>
        <w:ind w:firstLine="709"/>
        <w:contextualSpacing/>
        <w:jc w:val="center"/>
        <w:rPr>
          <w:lang w:val="ru-RU"/>
        </w:rPr>
      </w:pPr>
    </w:p>
    <w:p w:rsidR="008301A3" w:rsidRDefault="008301A3" w:rsidP="004B0C5B">
      <w:pPr>
        <w:ind w:firstLine="709"/>
        <w:contextualSpacing/>
        <w:rPr>
          <w:rFonts w:eastAsia="Calibri"/>
          <w:sz w:val="28"/>
          <w:szCs w:val="28"/>
        </w:rPr>
      </w:pPr>
      <w:r>
        <w:rPr>
          <w:lang w:val="ru-RU"/>
        </w:rPr>
        <w:tab/>
      </w:r>
      <w:r>
        <w:rPr>
          <w:rFonts w:eastAsia="Calibri"/>
          <w:sz w:val="28"/>
          <w:szCs w:val="28"/>
        </w:rPr>
        <w:tab/>
      </w:r>
    </w:p>
    <w:p w:rsidR="008301A3" w:rsidRDefault="00494D8F" w:rsidP="004B0C5B">
      <w:pPr>
        <w:spacing w:after="20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В.о. </w:t>
      </w:r>
      <w:r w:rsidR="004B0C5B">
        <w:rPr>
          <w:rFonts w:eastAsia="Calibri"/>
          <w:sz w:val="28"/>
          <w:szCs w:val="28"/>
        </w:rPr>
        <w:t>директора</w:t>
      </w:r>
      <w:r w:rsidR="008301A3">
        <w:rPr>
          <w:rFonts w:eastAsia="Calibri"/>
          <w:sz w:val="28"/>
          <w:szCs w:val="28"/>
        </w:rPr>
        <w:t xml:space="preserve"> КНП «</w:t>
      </w:r>
      <w:r w:rsidR="00375C28">
        <w:rPr>
          <w:rFonts w:eastAsia="Calibri"/>
          <w:sz w:val="28"/>
          <w:szCs w:val="28"/>
        </w:rPr>
        <w:t>ПМДЛ» ПМР</w:t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А.В.Худолій</w:t>
      </w:r>
    </w:p>
    <w:p w:rsidR="007A54FF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7A54FF" w:rsidRPr="00494D8F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BB733E" w:rsidRPr="00494D8F" w:rsidRDefault="00BB733E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7A54FF" w:rsidRDefault="007A54FF" w:rsidP="004B0C5B">
      <w:pPr>
        <w:spacing w:after="200"/>
        <w:ind w:firstLine="709"/>
        <w:contextualSpacing/>
        <w:rPr>
          <w:rFonts w:ascii="Calibri" w:eastAsia="Calibri" w:hAnsi="Calibri" w:cs="Calibri"/>
          <w:sz w:val="22"/>
          <w:szCs w:val="22"/>
        </w:rPr>
      </w:pPr>
    </w:p>
    <w:p w:rsidR="008301A3" w:rsidRDefault="008301A3" w:rsidP="004B0C5B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</w:t>
      </w:r>
      <w:r w:rsidRPr="00494D8F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</w:t>
      </w:r>
    </w:p>
    <w:p w:rsidR="009C4492" w:rsidRDefault="009C4492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03CBE" w:rsidRDefault="00903CBE" w:rsidP="00903CBE">
      <w:pPr>
        <w:ind w:firstLine="709"/>
        <w:contextualSpacing/>
        <w:jc w:val="both"/>
        <w:rPr>
          <w:rFonts w:eastAsia="Calibri"/>
          <w:sz w:val="28"/>
          <w:szCs w:val="28"/>
        </w:rPr>
        <w:sectPr w:rsidR="00903CBE" w:rsidSect="009C4492">
          <w:headerReference w:type="default" r:id="rId7"/>
          <w:footerReference w:type="default" r:id="rId8"/>
          <w:pgSz w:w="11906" w:h="16838"/>
          <w:pgMar w:top="851" w:right="567" w:bottom="709" w:left="1701" w:header="709" w:footer="720" w:gutter="0"/>
          <w:cols w:space="720"/>
          <w:titlePg/>
          <w:docGrid w:linePitch="600" w:charSpace="32768"/>
        </w:sectPr>
      </w:pPr>
    </w:p>
    <w:p w:rsidR="00903CBE" w:rsidRPr="00903CBE" w:rsidRDefault="00903CBE" w:rsidP="00903CBE">
      <w:pPr>
        <w:autoSpaceDE w:val="0"/>
        <w:jc w:val="right"/>
        <w:textAlignment w:val="baseline"/>
        <w:rPr>
          <w:b/>
          <w:bCs/>
          <w:kern w:val="1"/>
          <w:szCs w:val="24"/>
        </w:rPr>
      </w:pPr>
      <w:r w:rsidRPr="00903CBE">
        <w:rPr>
          <w:b/>
          <w:bCs/>
          <w:kern w:val="1"/>
          <w:szCs w:val="24"/>
        </w:rPr>
        <w:lastRenderedPageBreak/>
        <w:t>додаток 1</w:t>
      </w:r>
    </w:p>
    <w:p w:rsidR="00903CBE" w:rsidRPr="00903CBE" w:rsidRDefault="00903CBE" w:rsidP="00903CBE">
      <w:pPr>
        <w:autoSpaceDE w:val="0"/>
        <w:textAlignment w:val="baseline"/>
        <w:rPr>
          <w:rFonts w:ascii="TimesNewRomanPS-BoldMT" w:hAnsi="TimesNewRomanPS-BoldMT" w:cs="TimesNewRomanPS-BoldMT"/>
          <w:b/>
          <w:bCs/>
          <w:kern w:val="1"/>
          <w:sz w:val="28"/>
          <w:szCs w:val="28"/>
        </w:rPr>
      </w:pPr>
    </w:p>
    <w:p w:rsidR="00903CBE" w:rsidRPr="00903CBE" w:rsidRDefault="00903CBE" w:rsidP="00903CBE">
      <w:pPr>
        <w:autoSpaceDE w:val="0"/>
        <w:jc w:val="center"/>
        <w:textAlignment w:val="baseline"/>
        <w:rPr>
          <w:kern w:val="1"/>
          <w:szCs w:val="24"/>
        </w:rPr>
      </w:pPr>
      <w:r w:rsidRPr="00903CBE">
        <w:rPr>
          <w:b/>
          <w:kern w:val="1"/>
          <w:sz w:val="28"/>
          <w:szCs w:val="28"/>
        </w:rPr>
        <w:t>Напрями діяльності та заходи міської цільової програми</w:t>
      </w:r>
    </w:p>
    <w:p w:rsidR="00903CBE" w:rsidRPr="00903CBE" w:rsidRDefault="00903CBE" w:rsidP="00903CBE">
      <w:pPr>
        <w:autoSpaceDE w:val="0"/>
        <w:jc w:val="center"/>
        <w:textAlignment w:val="baseline"/>
        <w:rPr>
          <w:b/>
          <w:kern w:val="1"/>
          <w:sz w:val="28"/>
          <w:szCs w:val="28"/>
        </w:rPr>
      </w:pPr>
      <w:r w:rsidRPr="00903CBE">
        <w:rPr>
          <w:b/>
          <w:kern w:val="1"/>
          <w:sz w:val="28"/>
          <w:szCs w:val="28"/>
        </w:rPr>
        <w:t>Надання медичної допомоги дитячому</w:t>
      </w:r>
    </w:p>
    <w:p w:rsidR="00903CBE" w:rsidRPr="00903CBE" w:rsidRDefault="00903CBE" w:rsidP="00903CBE">
      <w:pPr>
        <w:autoSpaceDE w:val="0"/>
        <w:jc w:val="center"/>
        <w:textAlignment w:val="baseline"/>
        <w:rPr>
          <w:b/>
          <w:bCs/>
          <w:kern w:val="1"/>
          <w:sz w:val="28"/>
          <w:szCs w:val="28"/>
        </w:rPr>
      </w:pPr>
      <w:r w:rsidRPr="00903CBE">
        <w:rPr>
          <w:b/>
          <w:kern w:val="1"/>
          <w:sz w:val="28"/>
          <w:szCs w:val="28"/>
        </w:rPr>
        <w:t>населенню на 2019 рік</w:t>
      </w:r>
    </w:p>
    <w:p w:rsidR="00903CBE" w:rsidRPr="00903CBE" w:rsidRDefault="00903CBE" w:rsidP="00903CBE">
      <w:pPr>
        <w:autoSpaceDE w:val="0"/>
        <w:textAlignment w:val="baseline"/>
        <w:rPr>
          <w:b/>
          <w:bCs/>
          <w:kern w:val="1"/>
          <w:sz w:val="20"/>
        </w:rPr>
      </w:pPr>
    </w:p>
    <w:p w:rsidR="00903CBE" w:rsidRPr="00903CBE" w:rsidRDefault="00903CBE" w:rsidP="00903CBE">
      <w:pPr>
        <w:autoSpaceDE w:val="0"/>
        <w:textAlignment w:val="baseline"/>
        <w:rPr>
          <w:b/>
          <w:bCs/>
          <w:kern w:val="1"/>
          <w:sz w:val="28"/>
          <w:szCs w:val="28"/>
        </w:rPr>
      </w:pPr>
      <w:r w:rsidRPr="00903CBE">
        <w:rPr>
          <w:b/>
          <w:bCs/>
          <w:kern w:val="1"/>
          <w:szCs w:val="24"/>
        </w:rPr>
        <w:t xml:space="preserve"> </w:t>
      </w:r>
    </w:p>
    <w:p w:rsidR="00903CBE" w:rsidRPr="00903CBE" w:rsidRDefault="00903CBE" w:rsidP="00903CBE">
      <w:pPr>
        <w:textAlignment w:val="baseline"/>
        <w:rPr>
          <w:b/>
          <w:bCs/>
          <w:kern w:val="1"/>
          <w:sz w:val="28"/>
          <w:szCs w:val="28"/>
        </w:rPr>
      </w:pPr>
    </w:p>
    <w:tbl>
      <w:tblPr>
        <w:tblW w:w="1496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409"/>
        <w:gridCol w:w="3402"/>
        <w:gridCol w:w="993"/>
        <w:gridCol w:w="2409"/>
        <w:gridCol w:w="2835"/>
        <w:gridCol w:w="2410"/>
      </w:tblGrid>
      <w:tr w:rsidR="00903CBE" w:rsidRPr="00903CBE" w:rsidTr="00903CBE">
        <w:trPr>
          <w:trHeight w:val="1092"/>
        </w:trPr>
        <w:tc>
          <w:tcPr>
            <w:tcW w:w="506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№</w:t>
            </w:r>
          </w:p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п/п</w:t>
            </w:r>
          </w:p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Напрями діяльності (пріоритетні завдання)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Перелік заходів програми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Строки виконання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Виконавці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Джерела фінансування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Орієнтовні обсяги фінансування (вартість) тис. грн. у тому числі:</w:t>
            </w:r>
          </w:p>
        </w:tc>
      </w:tr>
      <w:tr w:rsidR="00903CBE" w:rsidRPr="00903CBE" w:rsidTr="00903CBE">
        <w:tc>
          <w:tcPr>
            <w:tcW w:w="506" w:type="dxa"/>
            <w:vMerge w:val="restart"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1</w:t>
            </w:r>
          </w:p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Забезпечення дитячого населення медичною допомогою</w:t>
            </w: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Покриття видатків на надання вторинної медичної допомоги дитячому населенню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бюджету, джерелом яких є медична субвенція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9322</w:t>
            </w:r>
          </w:p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903CBE" w:rsidRPr="00903CBE" w:rsidTr="00903CBE">
        <w:tc>
          <w:tcPr>
            <w:tcW w:w="506" w:type="dxa"/>
            <w:vMerge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Покриття видатків на оплату енергоносіїв і комунальних послуг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1891</w:t>
            </w:r>
          </w:p>
        </w:tc>
      </w:tr>
      <w:tr w:rsidR="00903CBE" w:rsidRPr="00903CBE" w:rsidTr="00903CBE">
        <w:tc>
          <w:tcPr>
            <w:tcW w:w="506" w:type="dxa"/>
            <w:vMerge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Утримання установи та покращення матеріально-технічної бази, поточні видатки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D770A4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845</w:t>
            </w:r>
          </w:p>
        </w:tc>
      </w:tr>
      <w:tr w:rsidR="00903CBE" w:rsidRPr="00903CBE" w:rsidTr="00903CBE">
        <w:tc>
          <w:tcPr>
            <w:tcW w:w="12554" w:type="dxa"/>
            <w:gridSpan w:val="6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Всього</w:t>
            </w:r>
          </w:p>
        </w:tc>
        <w:tc>
          <w:tcPr>
            <w:tcW w:w="2410" w:type="dxa"/>
            <w:shd w:val="clear" w:color="auto" w:fill="auto"/>
          </w:tcPr>
          <w:p w:rsidR="00903CBE" w:rsidRPr="00903CBE" w:rsidRDefault="00D770A4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12058</w:t>
            </w:r>
            <w:bookmarkStart w:id="0" w:name="_GoBack"/>
            <w:bookmarkEnd w:id="0"/>
          </w:p>
        </w:tc>
      </w:tr>
    </w:tbl>
    <w:p w:rsidR="00903CBE" w:rsidRPr="00903CBE" w:rsidRDefault="00903CBE" w:rsidP="00903CBE">
      <w:pPr>
        <w:textAlignment w:val="baseline"/>
        <w:rPr>
          <w:kern w:val="1"/>
          <w:szCs w:val="24"/>
        </w:rPr>
      </w:pPr>
    </w:p>
    <w:p w:rsidR="00903CBE" w:rsidRPr="00903CBE" w:rsidRDefault="00903CBE" w:rsidP="00903CBE">
      <w:pPr>
        <w:jc w:val="both"/>
        <w:textAlignment w:val="baseline"/>
        <w:rPr>
          <w:kern w:val="1"/>
          <w:sz w:val="28"/>
          <w:szCs w:val="28"/>
        </w:rPr>
      </w:pPr>
    </w:p>
    <w:p w:rsidR="008301A3" w:rsidRDefault="008301A3" w:rsidP="00903CBE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8301A3" w:rsidSect="00903CBE">
      <w:pgSz w:w="16838" w:h="11906" w:orient="landscape"/>
      <w:pgMar w:top="1701" w:right="851" w:bottom="567" w:left="709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6B" w:rsidRDefault="0051406B">
      <w:r>
        <w:separator/>
      </w:r>
    </w:p>
  </w:endnote>
  <w:endnote w:type="continuationSeparator" w:id="0">
    <w:p w:rsidR="0051406B" w:rsidRDefault="0051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5B" w:rsidRDefault="004B0C5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770A4" w:rsidRPr="00D770A4">
      <w:rPr>
        <w:noProof/>
        <w:lang w:val="ru-RU"/>
      </w:rPr>
      <w:t>6</w:t>
    </w:r>
    <w:r>
      <w:fldChar w:fldCharType="end"/>
    </w:r>
  </w:p>
  <w:p w:rsidR="008301A3" w:rsidRDefault="008301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6B" w:rsidRDefault="0051406B">
      <w:r>
        <w:separator/>
      </w:r>
    </w:p>
  </w:footnote>
  <w:footnote w:type="continuationSeparator" w:id="0">
    <w:p w:rsidR="0051406B" w:rsidRDefault="0051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3" w:rsidRDefault="008301A3">
    <w:pPr>
      <w:pStyle w:val="ac"/>
      <w:jc w:val="center"/>
    </w:pPr>
  </w:p>
  <w:p w:rsidR="008301A3" w:rsidRDefault="008301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8"/>
    <w:rsid w:val="00014D12"/>
    <w:rsid w:val="00034AD7"/>
    <w:rsid w:val="000B1266"/>
    <w:rsid w:val="00146996"/>
    <w:rsid w:val="002C21BB"/>
    <w:rsid w:val="00320863"/>
    <w:rsid w:val="00375C28"/>
    <w:rsid w:val="00390C23"/>
    <w:rsid w:val="003B0596"/>
    <w:rsid w:val="00444F9B"/>
    <w:rsid w:val="004744AA"/>
    <w:rsid w:val="00494D8F"/>
    <w:rsid w:val="004B0C5B"/>
    <w:rsid w:val="004C3B8A"/>
    <w:rsid w:val="004E3C97"/>
    <w:rsid w:val="0051406B"/>
    <w:rsid w:val="00516036"/>
    <w:rsid w:val="00551C5B"/>
    <w:rsid w:val="00567FF7"/>
    <w:rsid w:val="005D5A6F"/>
    <w:rsid w:val="005F45E5"/>
    <w:rsid w:val="00647488"/>
    <w:rsid w:val="006C110D"/>
    <w:rsid w:val="006C2766"/>
    <w:rsid w:val="007402FA"/>
    <w:rsid w:val="00755056"/>
    <w:rsid w:val="00767372"/>
    <w:rsid w:val="007A54FF"/>
    <w:rsid w:val="007A6BF7"/>
    <w:rsid w:val="008108CB"/>
    <w:rsid w:val="008301A3"/>
    <w:rsid w:val="00893876"/>
    <w:rsid w:val="008B60A0"/>
    <w:rsid w:val="008C0F67"/>
    <w:rsid w:val="008E16F2"/>
    <w:rsid w:val="00903CBE"/>
    <w:rsid w:val="009235E2"/>
    <w:rsid w:val="009C0C65"/>
    <w:rsid w:val="009C4492"/>
    <w:rsid w:val="009D36F4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D04624"/>
    <w:rsid w:val="00D319CA"/>
    <w:rsid w:val="00D37591"/>
    <w:rsid w:val="00D43448"/>
    <w:rsid w:val="00D62C2A"/>
    <w:rsid w:val="00D770A4"/>
    <w:rsid w:val="00D93C2E"/>
    <w:rsid w:val="00DF43B6"/>
    <w:rsid w:val="00E22E1B"/>
    <w:rsid w:val="00E6547A"/>
    <w:rsid w:val="00E87D19"/>
    <w:rsid w:val="00F03D84"/>
    <w:rsid w:val="00F04C3B"/>
    <w:rsid w:val="00F64483"/>
    <w:rsid w:val="00FA6F76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EF73B"/>
  <w15:docId w15:val="{990523C8-A134-4676-9D43-04D2A78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eastAsia="Calibri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HP</cp:lastModifiedBy>
  <cp:revision>5</cp:revision>
  <cp:lastPrinted>2019-08-19T06:35:00Z</cp:lastPrinted>
  <dcterms:created xsi:type="dcterms:W3CDTF">2019-06-18T07:59:00Z</dcterms:created>
  <dcterms:modified xsi:type="dcterms:W3CDTF">2019-08-19T06:37:00Z</dcterms:modified>
</cp:coreProperties>
</file>