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006870">
        <w:rPr>
          <w:sz w:val="26"/>
          <w:szCs w:val="26"/>
        </w:rPr>
        <w:t>Переговорна процедура</w:t>
      </w:r>
    </w:p>
    <w:p w:rsidR="00006870" w:rsidRPr="00006870" w:rsidRDefault="00006870" w:rsidP="00006870">
      <w:pPr>
        <w:pStyle w:val="Standard"/>
        <w:ind w:firstLine="567"/>
        <w:jc w:val="both"/>
        <w:rPr>
          <w:sz w:val="26"/>
          <w:szCs w:val="26"/>
          <w:lang w:val="uk-UA"/>
        </w:rPr>
      </w:pPr>
      <w:r w:rsidRPr="00006870">
        <w:rPr>
          <w:color w:val="000000"/>
          <w:sz w:val="26"/>
          <w:szCs w:val="26"/>
          <w:lang w:val="uk-UA"/>
        </w:rPr>
        <w:t>Відповідно до п.1 ч.2 ст. 40 Закону України «Про публічні закупівлі», а саме:</w:t>
      </w:r>
      <w:r w:rsidRPr="00006870">
        <w:rPr>
          <w:b/>
          <w:color w:val="000000"/>
          <w:sz w:val="26"/>
          <w:szCs w:val="26"/>
          <w:lang w:val="uk-UA"/>
        </w:rPr>
        <w:t xml:space="preserve"> </w:t>
      </w:r>
      <w:bookmarkStart w:id="0" w:name="104"/>
      <w:bookmarkEnd w:id="0"/>
      <w:r w:rsidRPr="00006870">
        <w:rPr>
          <w:sz w:val="26"/>
          <w:szCs w:val="26"/>
          <w:lang w:val="uk-UA"/>
        </w:rPr>
        <w:t xml:space="preserve">переговорна процедура закупівлі застосовується як виняток 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 Законом. </w:t>
      </w:r>
      <w:r w:rsidRPr="00006870">
        <w:rPr>
          <w:sz w:val="26"/>
          <w:szCs w:val="26"/>
        </w:rPr>
        <w:t>При цьому предмет закупівлі, його технічні та якісні характеристики, а також вимоги  до учасника не повинні відрізнятися від вимог, що були визначені замовником у тендерній документації.</w:t>
      </w:r>
    </w:p>
    <w:p w:rsidR="003D4F87" w:rsidRPr="003D4F87" w:rsidRDefault="003D4F87" w:rsidP="003D4F87">
      <w:pPr>
        <w:ind w:firstLine="567"/>
        <w:jc w:val="both"/>
        <w:rPr>
          <w:sz w:val="26"/>
          <w:szCs w:val="26"/>
          <w:shd w:val="clear" w:color="auto" w:fill="FFFFFF"/>
        </w:rPr>
      </w:pPr>
      <w:r w:rsidRPr="003D4F87">
        <w:rPr>
          <w:sz w:val="26"/>
          <w:szCs w:val="26"/>
          <w:shd w:val="clear" w:color="auto" w:fill="FFFFFF"/>
        </w:rPr>
        <w:t xml:space="preserve">Через те, що було двічі відмінено тендер через відсутність достатньої кількості учасників щодо закупівлі послуг з розкряжування повалених дерев, код згідно Державного класифікатора продукції та послуг ДК 021: 2015 </w:t>
      </w:r>
      <w:r w:rsidRPr="003D4F87">
        <w:rPr>
          <w:bCs/>
          <w:sz w:val="26"/>
          <w:szCs w:val="26"/>
        </w:rPr>
        <w:t>77340000-5 Послуги з підрізання дерев і живих огорож</w:t>
      </w:r>
      <w:r w:rsidRPr="003D4F87">
        <w:rPr>
          <w:sz w:val="26"/>
          <w:szCs w:val="26"/>
          <w:shd w:val="clear" w:color="auto" w:fill="FFFFFF"/>
        </w:rPr>
        <w:t xml:space="preserve"> у даному випадку відповідно до пункту 1 частини 2 статті 40 Закону України «Про публічні закупівлі» тендерним  комітетом було прийнято рішення про необхідність застосування переговорної процедури закупівлі. </w:t>
      </w:r>
    </w:p>
    <w:p w:rsidR="003D4F87" w:rsidRPr="003D4F87" w:rsidRDefault="003D4F87" w:rsidP="003D4F87">
      <w:pPr>
        <w:ind w:firstLine="567"/>
        <w:jc w:val="both"/>
        <w:rPr>
          <w:rStyle w:val="h-select-all"/>
          <w:sz w:val="26"/>
          <w:szCs w:val="26"/>
          <w:shd w:val="clear" w:color="auto" w:fill="FFFFFF"/>
        </w:rPr>
      </w:pPr>
      <w:r w:rsidRPr="003D4F87">
        <w:rPr>
          <w:sz w:val="26"/>
          <w:szCs w:val="26"/>
          <w:shd w:val="clear" w:color="auto" w:fill="FFFFFF"/>
        </w:rPr>
        <w:t xml:space="preserve">Відповідно до вимог Закону України «Про публічні закупівлі» закупівля  послуг з </w:t>
      </w:r>
      <w:r w:rsidR="00176C7A">
        <w:rPr>
          <w:sz w:val="26"/>
          <w:szCs w:val="26"/>
          <w:shd w:val="clear" w:color="auto" w:fill="FFFFFF"/>
        </w:rPr>
        <w:t>розкряжування повалених дерев</w:t>
      </w:r>
      <w:r w:rsidRPr="003D4F87">
        <w:rPr>
          <w:sz w:val="26"/>
          <w:szCs w:val="26"/>
          <w:shd w:val="clear" w:color="auto" w:fill="FFFFFF"/>
        </w:rPr>
        <w:t xml:space="preserve"> споживачами може здійснюватися шляхом застосування  переговорної процедури закупівлі оскільки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 у тендерній документації. Про це свідчать звіти про результати проведених відкритих торгів:</w:t>
      </w:r>
    </w:p>
    <w:p w:rsidR="003D4F87" w:rsidRPr="003D4F87" w:rsidRDefault="003D4F87" w:rsidP="003D4F87">
      <w:pPr>
        <w:pStyle w:val="Standard"/>
        <w:jc w:val="both"/>
        <w:rPr>
          <w:sz w:val="26"/>
          <w:szCs w:val="26"/>
          <w:lang w:val="uk-UA"/>
        </w:rPr>
      </w:pPr>
      <w:r w:rsidRPr="003D4F87">
        <w:rPr>
          <w:rStyle w:val="h-select-all"/>
          <w:sz w:val="26"/>
          <w:szCs w:val="26"/>
          <w:shd w:val="clear" w:color="auto" w:fill="FFFFFF"/>
        </w:rPr>
        <w:t>UA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-2021-03-04-002178-а</w:t>
      </w:r>
    </w:p>
    <w:p w:rsidR="003D4F87" w:rsidRPr="003D4F87" w:rsidRDefault="003D4F87" w:rsidP="003D4F87">
      <w:pPr>
        <w:pStyle w:val="Standard"/>
        <w:jc w:val="both"/>
        <w:rPr>
          <w:rStyle w:val="h-select-all"/>
          <w:sz w:val="26"/>
          <w:szCs w:val="26"/>
          <w:lang w:val="uk-UA"/>
        </w:rPr>
      </w:pPr>
      <w:r w:rsidRPr="003D4F87">
        <w:rPr>
          <w:rStyle w:val="h-select-all"/>
          <w:sz w:val="26"/>
          <w:szCs w:val="26"/>
          <w:shd w:val="clear" w:color="auto" w:fill="FFFFFF"/>
        </w:rPr>
        <w:t>UA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-2021-03-22-002400-с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ab/>
      </w:r>
    </w:p>
    <w:p w:rsidR="00006870" w:rsidRPr="00C06918" w:rsidRDefault="00006870" w:rsidP="00BB429A">
      <w:pPr>
        <w:jc w:val="both"/>
        <w:rPr>
          <w:sz w:val="26"/>
          <w:szCs w:val="26"/>
        </w:rPr>
      </w:pPr>
    </w:p>
    <w:p w:rsidR="003D4F87" w:rsidRPr="003D4F87" w:rsidRDefault="00BB429A" w:rsidP="003D4F87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r w:rsidR="00B265B0" w:rsidRPr="003D4F87">
        <w:rPr>
          <w:sz w:val="26"/>
          <w:szCs w:val="26"/>
        </w:rPr>
        <w:t xml:space="preserve">ДК 021: 2015 </w:t>
      </w:r>
      <w:r w:rsidR="003D4F87" w:rsidRPr="003D4F87">
        <w:rPr>
          <w:iCs/>
          <w:sz w:val="26"/>
          <w:szCs w:val="26"/>
        </w:rPr>
        <w:t>77340000-5  Підрізання дерев і живих огорож (Розкряжування повалених дерев).</w:t>
      </w:r>
    </w:p>
    <w:p w:rsidR="00B265B0" w:rsidRDefault="00B265B0" w:rsidP="00BB429A">
      <w:pPr>
        <w:jc w:val="both"/>
      </w:pP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3D4F87">
        <w:rPr>
          <w:sz w:val="26"/>
          <w:szCs w:val="26"/>
        </w:rPr>
        <w:t>100 000</w:t>
      </w:r>
      <w:r w:rsidRPr="00C06918">
        <w:rPr>
          <w:sz w:val="26"/>
          <w:szCs w:val="26"/>
        </w:rPr>
        <w:t>,00 грн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Обгрунтування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r w:rsidRPr="00C06918">
        <w:rPr>
          <w:b/>
          <w:sz w:val="26"/>
          <w:szCs w:val="26"/>
        </w:rPr>
        <w:t xml:space="preserve">Обгрунтування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3D4F87" w:rsidRPr="003D5114" w:rsidRDefault="003D4F87" w:rsidP="003D4F87">
      <w:pPr>
        <w:ind w:firstLine="708"/>
        <w:jc w:val="both"/>
        <w:rPr>
          <w:sz w:val="26"/>
          <w:szCs w:val="26"/>
        </w:rPr>
      </w:pPr>
      <w:r w:rsidRPr="003D5114">
        <w:rPr>
          <w:color w:val="000000"/>
          <w:sz w:val="26"/>
          <w:szCs w:val="26"/>
        </w:rPr>
        <w:t xml:space="preserve">Послуги щодо  розкряжування повалених дерев надається як ручним способом, так і з використанням машин та механізмів. При цьому слід керуватись правилами охорони праці під час проведення робіт з видалення дерев і пеньків у населених пунктах України (наказ Держжитлокомунгоспу України від 30.11.1995 №51) </w:t>
      </w:r>
    </w:p>
    <w:p w:rsidR="003D4F87" w:rsidRPr="003D5114" w:rsidRDefault="003D4F87" w:rsidP="003D4F87">
      <w:pPr>
        <w:jc w:val="both"/>
        <w:rPr>
          <w:sz w:val="26"/>
          <w:szCs w:val="26"/>
        </w:rPr>
      </w:pPr>
    </w:p>
    <w:p w:rsidR="003D4F87" w:rsidRPr="003D5114" w:rsidRDefault="003D4F87" w:rsidP="003D4F87">
      <w:pPr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>При наданні послуг</w:t>
      </w:r>
      <w:r w:rsidRPr="003D5114">
        <w:rPr>
          <w:b/>
          <w:bCs/>
          <w:color w:val="000000"/>
          <w:sz w:val="26"/>
          <w:szCs w:val="26"/>
        </w:rPr>
        <w:t xml:space="preserve"> </w:t>
      </w:r>
      <w:r w:rsidRPr="003D5114">
        <w:rPr>
          <w:color w:val="000000"/>
          <w:sz w:val="26"/>
          <w:szCs w:val="26"/>
        </w:rPr>
        <w:t>щодо  розкряжування</w:t>
      </w:r>
      <w:r w:rsidRPr="003D5114">
        <w:rPr>
          <w:sz w:val="26"/>
          <w:szCs w:val="26"/>
        </w:rPr>
        <w:t xml:space="preserve"> повалених дерев Виконавець повинен:</w:t>
      </w:r>
    </w:p>
    <w:p w:rsidR="003D4F87" w:rsidRPr="003D5114" w:rsidRDefault="003D4F87" w:rsidP="003D4F87">
      <w:pPr>
        <w:jc w:val="both"/>
        <w:rPr>
          <w:sz w:val="26"/>
          <w:szCs w:val="26"/>
        </w:rPr>
      </w:pPr>
      <w:r w:rsidRPr="003D5114">
        <w:rPr>
          <w:sz w:val="26"/>
          <w:szCs w:val="26"/>
        </w:rPr>
        <w:lastRenderedPageBreak/>
        <w:tab/>
        <w:t xml:space="preserve">- бути оснащений спеціалізованою технікою для роботи на висоті, в т.ч. автовишкою, яка постійно повинна знаходитися в місті Прилуки; </w:t>
      </w:r>
    </w:p>
    <w:p w:rsidR="003D4F87" w:rsidRPr="003D5114" w:rsidRDefault="003D4F87" w:rsidP="003D4F87">
      <w:pPr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>- вживати заходів щодо вирішення питань по відключенню електричних мереж Прилуцьким РЕМ ПАТ “Чернігівобленерго” в рамках чинного законодавства (проводиться за рахунок Виконавця);</w:t>
      </w:r>
    </w:p>
    <w:p w:rsidR="003D4F87" w:rsidRPr="003D5114" w:rsidRDefault="003D4F87" w:rsidP="003D4F87">
      <w:pPr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>- забезпечити доставку та передачу спиляної (розпиляної) деревини на територію балансоутримувача багаторічних зелених насаджень комунального підприємства електромереж зовнішнього освітлення “Міськсвітло” Прилуцької міської ради за адресою: вул.Земська, 11-А, м Прилуки;</w:t>
      </w:r>
    </w:p>
    <w:p w:rsidR="003D4F87" w:rsidRPr="003D5114" w:rsidRDefault="003D4F87" w:rsidP="003D4F87">
      <w:pPr>
        <w:tabs>
          <w:tab w:val="left" w:pos="750"/>
        </w:tabs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>- після завершення робіт (надання послуг) на об’єктах забезпечити утилізацію відходів та рослинних рештків.</w:t>
      </w:r>
    </w:p>
    <w:p w:rsidR="003D4F87" w:rsidRPr="003D5114" w:rsidRDefault="003D4F87" w:rsidP="003D4F87">
      <w:pPr>
        <w:tabs>
          <w:tab w:val="left" w:pos="750"/>
        </w:tabs>
        <w:jc w:val="both"/>
        <w:rPr>
          <w:color w:val="000000"/>
          <w:sz w:val="26"/>
          <w:szCs w:val="26"/>
        </w:rPr>
      </w:pPr>
      <w:r w:rsidRPr="003D5114">
        <w:rPr>
          <w:sz w:val="26"/>
          <w:szCs w:val="26"/>
        </w:rPr>
        <w:tab/>
      </w:r>
      <w:r w:rsidRPr="003D5114">
        <w:rPr>
          <w:color w:val="000000"/>
          <w:sz w:val="26"/>
          <w:szCs w:val="26"/>
        </w:rPr>
        <w:tab/>
      </w:r>
    </w:p>
    <w:p w:rsidR="003D4F87" w:rsidRPr="003D5114" w:rsidRDefault="003D4F87" w:rsidP="003D4F87">
      <w:pPr>
        <w:tabs>
          <w:tab w:val="left" w:pos="750"/>
        </w:tabs>
        <w:jc w:val="both"/>
        <w:rPr>
          <w:rFonts w:eastAsia="Times New Roman CYR"/>
          <w:sz w:val="26"/>
          <w:szCs w:val="26"/>
        </w:rPr>
      </w:pPr>
      <w:r w:rsidRPr="003D5114">
        <w:rPr>
          <w:color w:val="000000"/>
          <w:sz w:val="26"/>
          <w:szCs w:val="26"/>
        </w:rPr>
        <w:tab/>
      </w:r>
      <w:r w:rsidRPr="003D5114">
        <w:rPr>
          <w:rFonts w:eastAsia="Times New Roman CYR"/>
          <w:sz w:val="26"/>
          <w:szCs w:val="26"/>
        </w:rPr>
        <w:t>Виконавець</w:t>
      </w:r>
      <w:r w:rsidRPr="003D5114">
        <w:rPr>
          <w:color w:val="000000"/>
          <w:sz w:val="26"/>
          <w:szCs w:val="26"/>
        </w:rPr>
        <w:t xml:space="preserve">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 w:rsidR="003D4F87" w:rsidRPr="003D5114" w:rsidRDefault="003D4F87" w:rsidP="003D4F87">
      <w:pPr>
        <w:tabs>
          <w:tab w:val="left" w:pos="735"/>
        </w:tabs>
        <w:jc w:val="both"/>
        <w:rPr>
          <w:rFonts w:eastAsia="Times New Roman CYR"/>
          <w:sz w:val="26"/>
          <w:szCs w:val="26"/>
        </w:rPr>
      </w:pPr>
    </w:p>
    <w:p w:rsidR="003D4F87" w:rsidRPr="003D5114" w:rsidRDefault="003D4F87" w:rsidP="003D4F87">
      <w:pPr>
        <w:tabs>
          <w:tab w:val="left" w:pos="735"/>
        </w:tabs>
        <w:jc w:val="both"/>
        <w:rPr>
          <w:rStyle w:val="2"/>
          <w:color w:val="000000"/>
          <w:kern w:val="1"/>
          <w:sz w:val="26"/>
          <w:szCs w:val="26"/>
        </w:rPr>
      </w:pPr>
      <w:r w:rsidRPr="003D5114">
        <w:rPr>
          <w:rStyle w:val="2"/>
          <w:color w:val="000000"/>
          <w:kern w:val="1"/>
          <w:sz w:val="26"/>
          <w:szCs w:val="26"/>
        </w:rPr>
        <w:tab/>
        <w:t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та природного середовища.</w:t>
      </w:r>
    </w:p>
    <w:p w:rsidR="003D4F87" w:rsidRPr="003D5114" w:rsidRDefault="003D4F87" w:rsidP="003D4F87">
      <w:pPr>
        <w:tabs>
          <w:tab w:val="left" w:pos="735"/>
        </w:tabs>
        <w:jc w:val="both"/>
        <w:rPr>
          <w:b/>
          <w:bCs/>
          <w:i/>
          <w:iCs/>
          <w:sz w:val="26"/>
          <w:szCs w:val="26"/>
        </w:rPr>
      </w:pPr>
      <w:r w:rsidRPr="003D5114">
        <w:rPr>
          <w:rStyle w:val="2"/>
          <w:color w:val="000000"/>
          <w:kern w:val="1"/>
          <w:sz w:val="26"/>
          <w:szCs w:val="26"/>
        </w:rPr>
        <w:tab/>
        <w:t>Розрахунок вартості послуг щодо  розкряжування повалених дерев проводиться за 1  розкряжоване дерево.</w:t>
      </w:r>
    </w:p>
    <w:p w:rsidR="003D4F87" w:rsidRPr="003D5114" w:rsidRDefault="003D4F87" w:rsidP="003D4F87">
      <w:pPr>
        <w:jc w:val="both"/>
        <w:rPr>
          <w:sz w:val="26"/>
          <w:szCs w:val="26"/>
        </w:rPr>
      </w:pPr>
      <w:r w:rsidRPr="003D5114">
        <w:rPr>
          <w:b/>
          <w:bCs/>
          <w:i/>
          <w:iCs/>
          <w:sz w:val="26"/>
          <w:szCs w:val="26"/>
        </w:rPr>
        <w:tab/>
      </w:r>
      <w:r w:rsidRPr="003D5114">
        <w:rPr>
          <w:sz w:val="26"/>
          <w:szCs w:val="26"/>
        </w:rPr>
        <w:t>Об</w:t>
      </w:r>
      <w:r w:rsidRPr="003D5114">
        <w:rPr>
          <w:sz w:val="26"/>
          <w:szCs w:val="26"/>
          <w:lang w:val="ru-RU"/>
        </w:rPr>
        <w:t>'</w:t>
      </w:r>
      <w:r w:rsidRPr="003D5114">
        <w:rPr>
          <w:sz w:val="26"/>
          <w:szCs w:val="26"/>
        </w:rPr>
        <w:t>єми надання послуг становлять:</w:t>
      </w:r>
    </w:p>
    <w:p w:rsidR="001125FB" w:rsidRDefault="003D4F87" w:rsidP="003D4F87">
      <w:pPr>
        <w:ind w:firstLine="540"/>
        <w:jc w:val="both"/>
        <w:rPr>
          <w:rFonts w:eastAsia="Times New Roman CYR"/>
        </w:rPr>
      </w:pPr>
      <w:r w:rsidRPr="003D5114">
        <w:rPr>
          <w:sz w:val="26"/>
          <w:szCs w:val="26"/>
        </w:rPr>
        <w:tab/>
        <w:t>дерев — 103 шт.</w:t>
      </w: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EAF"/>
    <w:rsid w:val="00006870"/>
    <w:rsid w:val="001125FB"/>
    <w:rsid w:val="00176C7A"/>
    <w:rsid w:val="002319CD"/>
    <w:rsid w:val="003D4F87"/>
    <w:rsid w:val="00423919"/>
    <w:rsid w:val="004A0CBA"/>
    <w:rsid w:val="0052583C"/>
    <w:rsid w:val="00704E9E"/>
    <w:rsid w:val="00936DDC"/>
    <w:rsid w:val="00A90A54"/>
    <w:rsid w:val="00B05186"/>
    <w:rsid w:val="00B265B0"/>
    <w:rsid w:val="00BB429A"/>
    <w:rsid w:val="00BE7EAF"/>
    <w:rsid w:val="00C06918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h-select-all">
    <w:name w:val="h-select-all"/>
    <w:basedOn w:val="a1"/>
    <w:rsid w:val="0000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10</cp:revision>
  <dcterms:created xsi:type="dcterms:W3CDTF">2021-12-03T08:58:00Z</dcterms:created>
  <dcterms:modified xsi:type="dcterms:W3CDTF">2021-12-06T06:41:00Z</dcterms:modified>
</cp:coreProperties>
</file>